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2A2AB9">
      <w:pPr>
        <w:pStyle w:val="15"/>
        <w:spacing w:after="0" w:line="560" w:lineRule="exact"/>
        <w:ind w:firstLine="0" w:firstLineChars="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附件2</w:t>
      </w:r>
    </w:p>
    <w:p w14:paraId="2480DF74">
      <w:pPr>
        <w:pStyle w:val="2"/>
        <w:spacing w:line="600" w:lineRule="exact"/>
        <w:jc w:val="center"/>
        <w:rPr>
          <w:rFonts w:hint="eastAsia" w:ascii="Times New Roman" w:hAnsi="Times New Roman" w:eastAsia="方正小标宋简体" w:cs="宋体"/>
          <w:sz w:val="44"/>
          <w:szCs w:val="44"/>
        </w:rPr>
      </w:pPr>
      <w:r>
        <w:rPr>
          <w:rFonts w:hint="eastAsia" w:cs="宋体"/>
          <w:sz w:val="44"/>
          <w:szCs w:val="44"/>
          <w:lang w:eastAsia="zh-CN"/>
        </w:rPr>
        <w:t>《</w:t>
      </w:r>
      <w:r>
        <w:rPr>
          <w:rFonts w:hint="eastAsia" w:ascii="Times New Roman" w:hAnsi="Times New Roman" w:eastAsia="方正小标宋简体" w:cs="宋体"/>
          <w:sz w:val="44"/>
          <w:szCs w:val="44"/>
        </w:rPr>
        <w:t>已使用化妆品原料目录</w:t>
      </w:r>
      <w:r>
        <w:rPr>
          <w:rFonts w:hint="eastAsia" w:cs="宋体"/>
          <w:sz w:val="44"/>
          <w:szCs w:val="44"/>
          <w:lang w:eastAsia="zh-CN"/>
        </w:rPr>
        <w:t>》</w:t>
      </w:r>
      <w:r>
        <w:rPr>
          <w:rFonts w:hint="eastAsia" w:ascii="Times New Roman" w:hAnsi="Times New Roman" w:eastAsia="方正小标宋简体" w:cs="宋体"/>
          <w:sz w:val="44"/>
          <w:szCs w:val="44"/>
          <w:lang w:val="en-US" w:eastAsia="zh-CN"/>
        </w:rPr>
        <w:t>Ⅱ</w:t>
      </w:r>
    </w:p>
    <w:tbl>
      <w:tblPr>
        <w:tblStyle w:val="11"/>
        <w:tblW w:w="143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1313"/>
        <w:gridCol w:w="1823"/>
        <w:gridCol w:w="1374"/>
        <w:gridCol w:w="1133"/>
        <w:gridCol w:w="1193"/>
        <w:gridCol w:w="1680"/>
        <w:gridCol w:w="1020"/>
        <w:gridCol w:w="855"/>
        <w:gridCol w:w="1329"/>
        <w:gridCol w:w="1026"/>
        <w:gridCol w:w="829"/>
      </w:tblGrid>
      <w:tr w14:paraId="174C7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14335" w:type="dxa"/>
            <w:gridSpan w:val="12"/>
            <w:vAlign w:val="center"/>
          </w:tcPr>
          <w:p w14:paraId="741AF3BA">
            <w:pPr>
              <w:widowControl/>
              <w:spacing w:before="120" w:beforeLines="0" w:after="120" w:afterLines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说  明</w:t>
            </w:r>
          </w:p>
          <w:p w14:paraId="2E757EBD">
            <w:pPr>
              <w:widowControl/>
              <w:numPr>
                <w:ilvl w:val="0"/>
                <w:numId w:val="0"/>
              </w:numPr>
              <w:spacing w:after="0" w:line="280" w:lineRule="exact"/>
              <w:ind w:firstLine="480" w:firstLineChars="200"/>
              <w:jc w:val="both"/>
              <w:textAlignment w:val="center"/>
              <w:rPr>
                <w:rFonts w:hint="eastAsia"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  <w:lang w:bidi="ar"/>
              </w:rPr>
              <w:t>一、《已使用化妆品原料目录》分为</w:t>
            </w: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  <w:lang w:val="en-US" w:eastAsia="zh-CN" w:bidi="ar"/>
              </w:rPr>
              <w:t>Ⅰ</w:t>
            </w: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  <w:lang w:bidi="ar"/>
              </w:rPr>
              <w:t>和</w:t>
            </w: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  <w:lang w:eastAsia="zh-CN" w:bidi="ar"/>
              </w:rPr>
              <w:t>Ⅱ</w:t>
            </w: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  <w:lang w:bidi="ar"/>
              </w:rPr>
              <w:t>两个</w:t>
            </w: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  <w:szCs w:val="24"/>
                <w:lang w:bidi="ar"/>
              </w:rPr>
              <w:t>清单</w:t>
            </w:r>
            <w:bookmarkStart w:id="0" w:name="_GoBack"/>
            <w:bookmarkEnd w:id="0"/>
            <w:r>
              <w:rPr>
                <w:rFonts w:hint="eastAsia" w:ascii="Times New Roman" w:hAnsi="Times New Roman" w:eastAsia="仿宋_GB2312" w:cs="仿宋_GB2312"/>
                <w:color w:val="000000"/>
                <w:sz w:val="24"/>
                <w:lang w:bidi="ar"/>
              </w:rPr>
              <w:t>管理。其中，《已使用化妆品原料目录》</w:t>
            </w: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  <w:lang w:eastAsia="zh-CN" w:bidi="ar"/>
              </w:rPr>
              <w:t>Ⅱ</w:t>
            </w: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  <w:lang w:bidi="ar"/>
              </w:rPr>
              <w:t>是对在我国境内经注册或者备案的、安全监测期满且符合纳入《已使用化妆品原料目录》条件的化妆品新原料的收录。化妆品注册人、备案人在选用本目录所列原料时，应当符合国家有关法律法规、强制性国家标准、</w:t>
            </w: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  <w:szCs w:val="24"/>
                <w:lang w:bidi="ar"/>
              </w:rPr>
              <w:t>技术</w:t>
            </w: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  <w:lang w:bidi="ar"/>
              </w:rPr>
              <w:t>规范的相关要求，并承担产品质量安全主体责任。</w:t>
            </w:r>
          </w:p>
          <w:p w14:paraId="5564BD9F">
            <w:pPr>
              <w:widowControl w:val="0"/>
              <w:spacing w:after="0" w:line="240" w:lineRule="auto"/>
              <w:ind w:firstLine="480" w:firstLineChars="200"/>
              <w:jc w:val="both"/>
              <w:textAlignment w:val="center"/>
              <w:rPr>
                <w:rFonts w:hint="eastAsia"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  <w:lang w:bidi="ar"/>
              </w:rPr>
              <w:t>二、在本目录中收录的原料如被列为化妆品禁用原料、限用原料或者准用原料管理的，化妆品注册人、备案人应当按照强制性国家标准、技术规范的规定选择使用该原料。</w:t>
            </w:r>
          </w:p>
          <w:p w14:paraId="514E668E">
            <w:pPr>
              <w:widowControl/>
              <w:numPr>
                <w:ilvl w:val="0"/>
                <w:numId w:val="0"/>
              </w:numPr>
              <w:spacing w:after="0" w:line="280" w:lineRule="exact"/>
              <w:ind w:firstLine="480" w:firstLineChars="200"/>
              <w:jc w:val="both"/>
              <w:textAlignment w:val="center"/>
              <w:rPr>
                <w:rFonts w:hint="eastAsia"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  <w:lang w:bidi="ar"/>
              </w:rPr>
              <w:t>三、《已使用化妆品原料目录》</w:t>
            </w: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  <w:lang w:eastAsia="zh-CN" w:bidi="ar"/>
              </w:rPr>
              <w:t>Ⅱ</w:t>
            </w: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  <w:lang w:bidi="ar"/>
              </w:rPr>
              <w:t>收录的原料</w:t>
            </w: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  <w:szCs w:val="24"/>
                <w:lang w:bidi="ar"/>
              </w:rPr>
              <w:t>使用</w:t>
            </w: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  <w:lang w:bidi="ar"/>
              </w:rPr>
              <w:t>目的、安全使用量来源于化妆品新</w:t>
            </w:r>
            <w:r>
              <w:rPr>
                <w:rFonts w:hint="eastAsia" w:ascii="Times New Roman" w:hAnsi="Times New Roman" w:eastAsia="仿宋_GB2312" w:cs="仿宋_GB2312"/>
                <w:sz w:val="24"/>
                <w:lang w:bidi="ar"/>
              </w:rPr>
              <w:t>原料注册人、备案人提交的研究资料。</w:t>
            </w:r>
          </w:p>
          <w:p w14:paraId="20062D30">
            <w:pPr>
              <w:widowControl w:val="0"/>
              <w:spacing w:after="0" w:line="240" w:lineRule="auto"/>
              <w:ind w:firstLine="480" w:firstLineChars="200"/>
              <w:jc w:val="both"/>
              <w:textAlignment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lang w:bidi="ar"/>
              </w:rPr>
              <w:t>四、原料</w:t>
            </w: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  <w:lang w:bidi="ar"/>
              </w:rPr>
              <w:t>的来源、工艺等如对原料的物质基础或者质量安全有实质性影响的，根据实际情况在备注栏标注，例如：该原料的物种、使用部位、制备工艺简述、菌种来源、细胞来源等。</w:t>
            </w:r>
          </w:p>
        </w:tc>
      </w:tr>
      <w:tr w14:paraId="0EFF8D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60" w:type="dxa"/>
            <w:vMerge w:val="restart"/>
            <w:vAlign w:val="center"/>
          </w:tcPr>
          <w:p w14:paraId="547D67D9">
            <w:pPr>
              <w:pStyle w:val="15"/>
              <w:snapToGrid/>
              <w:spacing w:after="0" w:line="240" w:lineRule="auto"/>
              <w:ind w:firstLine="0" w:firstLineChars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313" w:type="dxa"/>
            <w:vMerge w:val="restart"/>
            <w:vAlign w:val="center"/>
          </w:tcPr>
          <w:p w14:paraId="3FB9FA68">
            <w:pPr>
              <w:pStyle w:val="15"/>
              <w:snapToGrid/>
              <w:spacing w:after="0" w:line="240" w:lineRule="auto"/>
              <w:ind w:firstLine="0" w:firstLineChars="0"/>
              <w:jc w:val="center"/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4"/>
                <w:szCs w:val="24"/>
              </w:rPr>
              <w:t>中文名称</w:t>
            </w:r>
          </w:p>
        </w:tc>
        <w:tc>
          <w:tcPr>
            <w:tcW w:w="1823" w:type="dxa"/>
            <w:vMerge w:val="restart"/>
            <w:vAlign w:val="center"/>
          </w:tcPr>
          <w:p w14:paraId="52DC7B59">
            <w:pPr>
              <w:pStyle w:val="15"/>
              <w:snapToGrid/>
              <w:spacing w:after="0" w:line="240" w:lineRule="auto"/>
              <w:ind w:firstLine="0" w:firstLineChars="0"/>
              <w:jc w:val="center"/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4"/>
                <w:szCs w:val="24"/>
              </w:rPr>
              <w:t>INCI名称</w:t>
            </w:r>
          </w:p>
        </w:tc>
        <w:tc>
          <w:tcPr>
            <w:tcW w:w="1374" w:type="dxa"/>
            <w:vMerge w:val="restart"/>
            <w:vAlign w:val="center"/>
          </w:tcPr>
          <w:p w14:paraId="67660CD4">
            <w:pPr>
              <w:pStyle w:val="15"/>
              <w:snapToGrid/>
              <w:spacing w:after="0" w:line="240" w:lineRule="auto"/>
              <w:ind w:firstLine="0" w:firstLineChars="0"/>
              <w:jc w:val="center"/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4"/>
                <w:szCs w:val="24"/>
              </w:rPr>
              <w:t>英文名称</w:t>
            </w:r>
          </w:p>
        </w:tc>
        <w:tc>
          <w:tcPr>
            <w:tcW w:w="1133" w:type="dxa"/>
            <w:vMerge w:val="restart"/>
            <w:vAlign w:val="center"/>
          </w:tcPr>
          <w:p w14:paraId="3EAE2980">
            <w:pPr>
              <w:pStyle w:val="15"/>
              <w:snapToGrid/>
              <w:spacing w:after="0" w:line="240" w:lineRule="auto"/>
              <w:ind w:firstLine="0" w:firstLineChars="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4"/>
                <w:szCs w:val="24"/>
              </w:rPr>
              <w:t>CAS号</w:t>
            </w:r>
          </w:p>
        </w:tc>
        <w:tc>
          <w:tcPr>
            <w:tcW w:w="1193" w:type="dxa"/>
            <w:vMerge w:val="restart"/>
            <w:vAlign w:val="center"/>
          </w:tcPr>
          <w:p w14:paraId="56550AE0">
            <w:pPr>
              <w:pStyle w:val="15"/>
              <w:snapToGrid/>
              <w:spacing w:after="0" w:line="240" w:lineRule="auto"/>
              <w:ind w:firstLine="0" w:firstLineChars="0"/>
              <w:jc w:val="center"/>
              <w:rPr>
                <w:rFonts w:hint="eastAsia" w:ascii="Times New Roman" w:hAnsi="Times New Roman" w:eastAsia="仿宋_GB2312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"/>
                <w:b/>
                <w:bCs/>
                <w:kern w:val="0"/>
                <w:sz w:val="24"/>
                <w:szCs w:val="24"/>
              </w:rPr>
              <w:t>原料</w:t>
            </w:r>
          </w:p>
          <w:p w14:paraId="3BAF8247">
            <w:pPr>
              <w:pStyle w:val="15"/>
              <w:snapToGrid/>
              <w:spacing w:after="0" w:line="240" w:lineRule="auto"/>
              <w:ind w:firstLine="0" w:firstLineChars="0"/>
              <w:jc w:val="center"/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"/>
                <w:b/>
                <w:bCs/>
                <w:kern w:val="0"/>
                <w:sz w:val="24"/>
                <w:szCs w:val="24"/>
              </w:rPr>
              <w:t>分子式</w:t>
            </w:r>
          </w:p>
        </w:tc>
        <w:tc>
          <w:tcPr>
            <w:tcW w:w="1680" w:type="dxa"/>
            <w:vMerge w:val="restart"/>
            <w:vAlign w:val="center"/>
          </w:tcPr>
          <w:p w14:paraId="16B7501B">
            <w:pPr>
              <w:pStyle w:val="15"/>
              <w:snapToGrid/>
              <w:spacing w:after="0" w:line="240" w:lineRule="auto"/>
              <w:ind w:firstLine="0" w:firstLineChars="0"/>
              <w:jc w:val="center"/>
              <w:rPr>
                <w:rFonts w:ascii="Times New Roman" w:hAnsi="Times New Roman" w:eastAsia="仿宋_GB2312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"/>
                <w:b/>
                <w:bCs/>
                <w:kern w:val="0"/>
                <w:sz w:val="24"/>
                <w:szCs w:val="24"/>
              </w:rPr>
              <w:t>化学结构式</w:t>
            </w:r>
          </w:p>
        </w:tc>
        <w:tc>
          <w:tcPr>
            <w:tcW w:w="1020" w:type="dxa"/>
            <w:vMerge w:val="restart"/>
            <w:vAlign w:val="center"/>
          </w:tcPr>
          <w:p w14:paraId="524069AC">
            <w:pPr>
              <w:pStyle w:val="15"/>
              <w:snapToGrid/>
              <w:spacing w:after="0" w:line="240" w:lineRule="auto"/>
              <w:ind w:firstLine="0" w:firstLineChars="0"/>
              <w:jc w:val="center"/>
              <w:rPr>
                <w:rFonts w:ascii="Times New Roman" w:hAnsi="Times New Roman" w:eastAsia="仿宋_GB2312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"/>
                <w:b/>
                <w:bCs/>
                <w:kern w:val="0"/>
                <w:sz w:val="24"/>
                <w:szCs w:val="24"/>
              </w:rPr>
              <w:t>相</w:t>
            </w:r>
            <w:r>
              <w:rPr>
                <w:rFonts w:hint="eastAsia" w:ascii="Times New Roman" w:hAnsi="Times New Roman" w:eastAsia="仿宋_GB2312" w:cs="仿宋"/>
                <w:b/>
                <w:bCs/>
                <w:sz w:val="24"/>
                <w:szCs w:val="24"/>
              </w:rPr>
              <w:t>对分子量</w:t>
            </w:r>
          </w:p>
        </w:tc>
        <w:tc>
          <w:tcPr>
            <w:tcW w:w="855" w:type="dxa"/>
            <w:vMerge w:val="restart"/>
            <w:vAlign w:val="center"/>
          </w:tcPr>
          <w:p w14:paraId="6DFE8017">
            <w:pPr>
              <w:pStyle w:val="15"/>
              <w:snapToGrid/>
              <w:spacing w:after="0" w:line="240" w:lineRule="auto"/>
              <w:ind w:firstLine="0" w:firstLineChars="0"/>
              <w:jc w:val="center"/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4"/>
                <w:szCs w:val="24"/>
              </w:rPr>
              <w:t>使用目的</w:t>
            </w:r>
          </w:p>
        </w:tc>
        <w:tc>
          <w:tcPr>
            <w:tcW w:w="2355" w:type="dxa"/>
            <w:gridSpan w:val="2"/>
            <w:vAlign w:val="center"/>
          </w:tcPr>
          <w:p w14:paraId="7B857192">
            <w:pPr>
              <w:pStyle w:val="15"/>
              <w:snapToGrid/>
              <w:spacing w:after="0" w:line="240" w:lineRule="auto"/>
              <w:ind w:firstLine="0" w:firstLineChars="0"/>
              <w:jc w:val="center"/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4"/>
                <w:szCs w:val="24"/>
              </w:rPr>
              <w:t>安全使用量</w:t>
            </w:r>
          </w:p>
        </w:tc>
        <w:tc>
          <w:tcPr>
            <w:tcW w:w="829" w:type="dxa"/>
            <w:vMerge w:val="restart"/>
            <w:vAlign w:val="center"/>
          </w:tcPr>
          <w:p w14:paraId="5A730D40">
            <w:pPr>
              <w:pStyle w:val="15"/>
              <w:snapToGrid/>
              <w:spacing w:after="0" w:line="240" w:lineRule="auto"/>
              <w:ind w:firstLine="0" w:firstLineChars="0"/>
              <w:jc w:val="center"/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4"/>
                <w:szCs w:val="24"/>
              </w:rPr>
              <w:t>备注</w:t>
            </w:r>
          </w:p>
        </w:tc>
      </w:tr>
      <w:tr w14:paraId="68369A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60" w:type="dxa"/>
            <w:vMerge w:val="continue"/>
            <w:vAlign w:val="center"/>
          </w:tcPr>
          <w:p w14:paraId="70602872">
            <w:pPr>
              <w:pStyle w:val="15"/>
              <w:snapToGrid/>
              <w:spacing w:after="0" w:line="240" w:lineRule="auto"/>
              <w:ind w:firstLine="0" w:firstLineChars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13" w:type="dxa"/>
            <w:vMerge w:val="continue"/>
            <w:vAlign w:val="center"/>
          </w:tcPr>
          <w:p w14:paraId="6EF9FEF8">
            <w:pPr>
              <w:pStyle w:val="15"/>
              <w:snapToGrid/>
              <w:spacing w:after="0" w:line="240" w:lineRule="auto"/>
              <w:ind w:firstLine="0" w:firstLineChars="0"/>
              <w:jc w:val="center"/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1823" w:type="dxa"/>
            <w:vMerge w:val="continue"/>
            <w:vAlign w:val="center"/>
          </w:tcPr>
          <w:p w14:paraId="0B2AA660">
            <w:pPr>
              <w:pStyle w:val="15"/>
              <w:snapToGrid/>
              <w:spacing w:after="0" w:line="240" w:lineRule="auto"/>
              <w:ind w:firstLine="0" w:firstLineChars="0"/>
              <w:jc w:val="center"/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vMerge w:val="continue"/>
            <w:vAlign w:val="center"/>
          </w:tcPr>
          <w:p w14:paraId="7CF5CCC5">
            <w:pPr>
              <w:pStyle w:val="15"/>
              <w:snapToGrid/>
              <w:spacing w:after="0" w:line="240" w:lineRule="auto"/>
              <w:ind w:firstLine="0" w:firstLineChars="0"/>
              <w:jc w:val="center"/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vMerge w:val="continue"/>
            <w:vAlign w:val="center"/>
          </w:tcPr>
          <w:p w14:paraId="57FF69BB">
            <w:pPr>
              <w:pStyle w:val="15"/>
              <w:snapToGrid/>
              <w:spacing w:after="0" w:line="240" w:lineRule="auto"/>
              <w:ind w:firstLine="0" w:firstLineChars="0"/>
              <w:jc w:val="center"/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1193" w:type="dxa"/>
            <w:vMerge w:val="continue"/>
            <w:vAlign w:val="center"/>
          </w:tcPr>
          <w:p w14:paraId="0E7B4552">
            <w:pPr>
              <w:pStyle w:val="15"/>
              <w:snapToGrid/>
              <w:spacing w:after="0" w:line="240" w:lineRule="auto"/>
              <w:ind w:firstLine="0" w:firstLineChars="0"/>
              <w:jc w:val="center"/>
              <w:rPr>
                <w:rFonts w:ascii="Times New Roman" w:hAnsi="Times New Roman" w:eastAsia="仿宋_GB2312" w:cs="仿宋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680" w:type="dxa"/>
            <w:vMerge w:val="continue"/>
            <w:vAlign w:val="center"/>
          </w:tcPr>
          <w:p w14:paraId="03922B84">
            <w:pPr>
              <w:pStyle w:val="15"/>
              <w:snapToGrid/>
              <w:spacing w:after="0" w:line="240" w:lineRule="auto"/>
              <w:ind w:firstLine="0" w:firstLineChars="0"/>
              <w:jc w:val="center"/>
              <w:rPr>
                <w:rFonts w:ascii="Times New Roman" w:hAnsi="Times New Roman" w:eastAsia="仿宋_GB2312" w:cs="仿宋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vMerge w:val="continue"/>
            <w:vAlign w:val="center"/>
          </w:tcPr>
          <w:p w14:paraId="0BC83976">
            <w:pPr>
              <w:pStyle w:val="15"/>
              <w:snapToGrid/>
              <w:spacing w:after="0" w:line="240" w:lineRule="auto"/>
              <w:ind w:firstLine="0" w:firstLineChars="0"/>
              <w:jc w:val="center"/>
              <w:rPr>
                <w:rFonts w:ascii="Times New Roman" w:hAnsi="Times New Roman" w:eastAsia="仿宋_GB2312" w:cs="仿宋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vMerge w:val="continue"/>
            <w:vAlign w:val="center"/>
          </w:tcPr>
          <w:p w14:paraId="360732B4">
            <w:pPr>
              <w:pStyle w:val="15"/>
              <w:snapToGrid/>
              <w:spacing w:after="0" w:line="240" w:lineRule="auto"/>
              <w:ind w:firstLine="0" w:firstLineChars="0"/>
              <w:jc w:val="center"/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1329" w:type="dxa"/>
            <w:vAlign w:val="center"/>
          </w:tcPr>
          <w:p w14:paraId="2EB42501">
            <w:pPr>
              <w:pStyle w:val="15"/>
              <w:snapToGrid/>
              <w:spacing w:after="0" w:line="240" w:lineRule="auto"/>
              <w:ind w:firstLine="0" w:firstLineChars="0"/>
              <w:jc w:val="center"/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4"/>
                <w:szCs w:val="24"/>
              </w:rPr>
              <w:t>使用范围</w:t>
            </w:r>
          </w:p>
        </w:tc>
        <w:tc>
          <w:tcPr>
            <w:tcW w:w="1026" w:type="dxa"/>
            <w:vAlign w:val="center"/>
          </w:tcPr>
          <w:p w14:paraId="13EED519">
            <w:pPr>
              <w:pStyle w:val="15"/>
              <w:snapToGrid/>
              <w:spacing w:after="0" w:line="240" w:lineRule="auto"/>
              <w:ind w:firstLine="0" w:firstLineChars="0"/>
              <w:jc w:val="center"/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4"/>
                <w:szCs w:val="24"/>
              </w:rPr>
              <w:t>使用量</w:t>
            </w:r>
          </w:p>
        </w:tc>
        <w:tc>
          <w:tcPr>
            <w:tcW w:w="829" w:type="dxa"/>
            <w:vMerge w:val="continue"/>
            <w:vAlign w:val="center"/>
          </w:tcPr>
          <w:p w14:paraId="3E05EFED">
            <w:pPr>
              <w:pStyle w:val="15"/>
              <w:snapToGrid/>
              <w:spacing w:after="0" w:line="240" w:lineRule="auto"/>
              <w:ind w:firstLine="0" w:firstLineChars="0"/>
              <w:jc w:val="center"/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</w:pPr>
          </w:p>
        </w:tc>
      </w:tr>
      <w:tr w14:paraId="3D636B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760" w:type="dxa"/>
            <w:vAlign w:val="center"/>
          </w:tcPr>
          <w:p w14:paraId="6B35FC7C">
            <w:pPr>
              <w:pStyle w:val="15"/>
              <w:snapToGrid/>
              <w:spacing w:after="0" w:line="240" w:lineRule="auto"/>
              <w:ind w:firstLine="0" w:firstLineChars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hint="eastAsia"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313" w:type="dxa"/>
            <w:vAlign w:val="center"/>
          </w:tcPr>
          <w:p w14:paraId="57445B09">
            <w:pPr>
              <w:pStyle w:val="15"/>
              <w:snapToGrid/>
              <w:spacing w:after="0" w:line="240" w:lineRule="auto"/>
              <w:ind w:firstLine="0" w:firstLineChars="0"/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/>
                <w:sz w:val="22"/>
                <w:szCs w:val="22"/>
              </w:rPr>
              <w:t>N-乙酰神经氨酸</w:t>
            </w:r>
          </w:p>
        </w:tc>
        <w:tc>
          <w:tcPr>
            <w:tcW w:w="1823" w:type="dxa"/>
            <w:vAlign w:val="center"/>
          </w:tcPr>
          <w:p w14:paraId="4B6A835B">
            <w:pPr>
              <w:pStyle w:val="15"/>
              <w:snapToGrid/>
              <w:spacing w:after="0" w:line="240" w:lineRule="auto"/>
              <w:ind w:firstLine="0" w:firstLineChars="0"/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sz w:val="22"/>
                <w:szCs w:val="22"/>
              </w:rPr>
              <w:t>A</w:t>
            </w:r>
            <w:r>
              <w:rPr>
                <w:rFonts w:hint="eastAsia" w:ascii="Times New Roman" w:hAnsi="Times New Roman" w:eastAsia="仿宋_GB2312"/>
                <w:sz w:val="22"/>
                <w:szCs w:val="22"/>
              </w:rPr>
              <w:t>CETYLNEURAMINIC ACID</w:t>
            </w:r>
          </w:p>
        </w:tc>
        <w:tc>
          <w:tcPr>
            <w:tcW w:w="1374" w:type="dxa"/>
            <w:vAlign w:val="center"/>
          </w:tcPr>
          <w:p w14:paraId="3CB72E3D">
            <w:pPr>
              <w:pStyle w:val="15"/>
              <w:snapToGrid/>
              <w:spacing w:after="0" w:line="240" w:lineRule="auto"/>
              <w:ind w:firstLine="0" w:firstLineChars="0"/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sz w:val="22"/>
                <w:szCs w:val="22"/>
              </w:rPr>
              <w:t>N-</w:t>
            </w:r>
            <w:r>
              <w:rPr>
                <w:rFonts w:hint="eastAsia" w:ascii="Times New Roman" w:hAnsi="Times New Roman" w:eastAsia="仿宋_GB2312"/>
                <w:sz w:val="22"/>
                <w:szCs w:val="22"/>
              </w:rPr>
              <w:t>ACETYLNEURAMINIC ACID</w:t>
            </w:r>
          </w:p>
        </w:tc>
        <w:tc>
          <w:tcPr>
            <w:tcW w:w="1133" w:type="dxa"/>
            <w:vAlign w:val="center"/>
          </w:tcPr>
          <w:p w14:paraId="6D945009">
            <w:pPr>
              <w:pStyle w:val="15"/>
              <w:snapToGrid/>
              <w:spacing w:after="0" w:line="240" w:lineRule="auto"/>
              <w:ind w:firstLine="0" w:firstLineChars="0"/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sz w:val="22"/>
                <w:szCs w:val="22"/>
              </w:rPr>
              <w:t>131-48-6</w:t>
            </w:r>
          </w:p>
        </w:tc>
        <w:tc>
          <w:tcPr>
            <w:tcW w:w="1193" w:type="dxa"/>
            <w:vAlign w:val="center"/>
          </w:tcPr>
          <w:p w14:paraId="5EC21647">
            <w:pPr>
              <w:pStyle w:val="15"/>
              <w:snapToGrid/>
              <w:spacing w:after="0" w:line="240" w:lineRule="auto"/>
              <w:ind w:firstLine="0" w:firstLineChars="0"/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sz w:val="22"/>
                <w:szCs w:val="22"/>
              </w:rPr>
              <w:t>C</w:t>
            </w:r>
            <w:r>
              <w:rPr>
                <w:rFonts w:ascii="Times New Roman" w:hAnsi="Times New Roman" w:eastAsia="仿宋_GB2312"/>
                <w:sz w:val="22"/>
                <w:szCs w:val="22"/>
                <w:vertAlign w:val="subscript"/>
              </w:rPr>
              <w:t>11</w:t>
            </w:r>
            <w:r>
              <w:rPr>
                <w:rFonts w:ascii="Times New Roman" w:hAnsi="Times New Roman" w:eastAsia="仿宋_GB2312"/>
                <w:sz w:val="22"/>
                <w:szCs w:val="22"/>
              </w:rPr>
              <w:t>H</w:t>
            </w:r>
            <w:r>
              <w:rPr>
                <w:rFonts w:ascii="Times New Roman" w:hAnsi="Times New Roman" w:eastAsia="仿宋_GB2312"/>
                <w:sz w:val="22"/>
                <w:szCs w:val="22"/>
                <w:vertAlign w:val="subscript"/>
              </w:rPr>
              <w:t>19</w:t>
            </w:r>
            <w:r>
              <w:rPr>
                <w:rFonts w:ascii="Times New Roman" w:hAnsi="Times New Roman" w:eastAsia="仿宋_GB2312"/>
                <w:sz w:val="22"/>
                <w:szCs w:val="22"/>
              </w:rPr>
              <w:t>NO</w:t>
            </w:r>
            <w:r>
              <w:rPr>
                <w:rFonts w:ascii="Times New Roman" w:hAnsi="Times New Roman" w:eastAsia="仿宋_GB2312"/>
                <w:sz w:val="22"/>
                <w:szCs w:val="22"/>
                <w:vertAlign w:val="subscript"/>
              </w:rPr>
              <w:t>9</w:t>
            </w:r>
          </w:p>
        </w:tc>
        <w:tc>
          <w:tcPr>
            <w:tcW w:w="1680" w:type="dxa"/>
            <w:vAlign w:val="center"/>
          </w:tcPr>
          <w:p w14:paraId="2294854E">
            <w:pPr>
              <w:snapToGrid/>
              <w:spacing w:after="0" w:line="240" w:lineRule="auto"/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sz w:val="22"/>
                <w:szCs w:val="22"/>
              </w:rPr>
              <w:drawing>
                <wp:inline distT="0" distB="0" distL="0" distR="0">
                  <wp:extent cx="866775" cy="723900"/>
                  <wp:effectExtent l="0" t="0" r="9525" b="0"/>
                  <wp:docPr id="1" name="图片 3" descr="图示, 示意图&#10;&#10;AI 生成的内容可能不正确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3" descr="图示, 示意图&#10;&#10;AI 生成的内容可能不正确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54" t="300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677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" w:type="dxa"/>
            <w:vAlign w:val="center"/>
          </w:tcPr>
          <w:p w14:paraId="69FD1BBE">
            <w:pPr>
              <w:snapToGrid/>
              <w:spacing w:after="0" w:line="240" w:lineRule="auto"/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sz w:val="22"/>
                <w:szCs w:val="22"/>
              </w:rPr>
              <w:t>309.27</w:t>
            </w:r>
          </w:p>
        </w:tc>
        <w:tc>
          <w:tcPr>
            <w:tcW w:w="855" w:type="dxa"/>
            <w:vAlign w:val="center"/>
          </w:tcPr>
          <w:p w14:paraId="4D041D51">
            <w:pPr>
              <w:pStyle w:val="15"/>
              <w:snapToGrid/>
              <w:spacing w:after="0" w:line="240" w:lineRule="auto"/>
              <w:ind w:firstLine="0" w:firstLineChars="0"/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/>
                <w:sz w:val="22"/>
                <w:szCs w:val="22"/>
              </w:rPr>
              <w:t>保湿剂</w:t>
            </w:r>
          </w:p>
        </w:tc>
        <w:tc>
          <w:tcPr>
            <w:tcW w:w="1329" w:type="dxa"/>
            <w:vAlign w:val="center"/>
          </w:tcPr>
          <w:p w14:paraId="2D476E3E">
            <w:pPr>
              <w:pStyle w:val="15"/>
              <w:snapToGrid/>
              <w:spacing w:after="0" w:line="240" w:lineRule="auto"/>
              <w:ind w:firstLine="0" w:firstLineChars="0"/>
              <w:jc w:val="both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/>
                <w:sz w:val="22"/>
                <w:szCs w:val="22"/>
              </w:rPr>
              <w:t>各类化妆品（口唇类以及可能具有吸入暴露风险的产品除外）</w:t>
            </w:r>
          </w:p>
        </w:tc>
        <w:tc>
          <w:tcPr>
            <w:tcW w:w="1026" w:type="dxa"/>
            <w:vAlign w:val="center"/>
          </w:tcPr>
          <w:p w14:paraId="601867F4">
            <w:pPr>
              <w:pStyle w:val="15"/>
              <w:snapToGrid/>
              <w:spacing w:after="0" w:line="240" w:lineRule="auto"/>
              <w:ind w:firstLine="0" w:firstLineChars="0"/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/>
                <w:sz w:val="22"/>
                <w:szCs w:val="22"/>
              </w:rPr>
              <w:t>2%</w:t>
            </w:r>
          </w:p>
        </w:tc>
        <w:tc>
          <w:tcPr>
            <w:tcW w:w="829" w:type="dxa"/>
            <w:vAlign w:val="center"/>
          </w:tcPr>
          <w:p w14:paraId="6AE4B203">
            <w:pPr>
              <w:pStyle w:val="15"/>
              <w:snapToGrid/>
              <w:spacing w:after="0" w:line="240" w:lineRule="auto"/>
              <w:ind w:firstLine="0" w:firstLineChars="0"/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/>
                <w:sz w:val="22"/>
                <w:szCs w:val="22"/>
              </w:rPr>
              <w:t>/</w:t>
            </w:r>
          </w:p>
        </w:tc>
      </w:tr>
      <w:tr w14:paraId="544134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760" w:type="dxa"/>
            <w:vAlign w:val="center"/>
          </w:tcPr>
          <w:p w14:paraId="0699A312">
            <w:pPr>
              <w:pStyle w:val="15"/>
              <w:spacing w:after="0" w:line="240" w:lineRule="auto"/>
              <w:ind w:firstLine="0" w:firstLineChars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hint="eastAsia"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313" w:type="dxa"/>
            <w:vAlign w:val="center"/>
          </w:tcPr>
          <w:p w14:paraId="26305F37">
            <w:pPr>
              <w:pStyle w:val="15"/>
              <w:snapToGrid/>
              <w:spacing w:after="0" w:line="240" w:lineRule="auto"/>
              <w:ind w:firstLine="0" w:firstLineChars="0"/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/>
                <w:sz w:val="22"/>
                <w:szCs w:val="22"/>
              </w:rPr>
              <w:t>β-丙氨酰羟脯氨酰二氨基丁酸苄胺</w:t>
            </w:r>
          </w:p>
        </w:tc>
        <w:tc>
          <w:tcPr>
            <w:tcW w:w="1823" w:type="dxa"/>
            <w:vAlign w:val="center"/>
          </w:tcPr>
          <w:p w14:paraId="04F131D1">
            <w:pPr>
              <w:pStyle w:val="15"/>
              <w:snapToGrid/>
              <w:spacing w:after="0" w:line="240" w:lineRule="auto"/>
              <w:ind w:firstLine="0" w:firstLineChars="0"/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sz w:val="22"/>
                <w:szCs w:val="22"/>
              </w:rPr>
              <w:t>B</w:t>
            </w:r>
            <w:r>
              <w:rPr>
                <w:rFonts w:hint="eastAsia" w:ascii="Times New Roman" w:hAnsi="Times New Roman" w:eastAsia="仿宋_GB2312"/>
                <w:sz w:val="22"/>
                <w:szCs w:val="22"/>
              </w:rPr>
              <w:t>ETA-ALANYL HYDROXYPROLYLDIAMINOBUTYROYL BENZYLAMIDE</w:t>
            </w:r>
          </w:p>
        </w:tc>
        <w:tc>
          <w:tcPr>
            <w:tcW w:w="1374" w:type="dxa"/>
            <w:vAlign w:val="center"/>
          </w:tcPr>
          <w:p w14:paraId="5BC4E835">
            <w:pPr>
              <w:pStyle w:val="15"/>
              <w:snapToGrid/>
              <w:spacing w:after="0" w:line="240" w:lineRule="auto"/>
              <w:ind w:firstLine="0" w:firstLineChars="0"/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/>
                <w:sz w:val="22"/>
                <w:szCs w:val="22"/>
              </w:rPr>
              <w:t>/</w:t>
            </w:r>
          </w:p>
        </w:tc>
        <w:tc>
          <w:tcPr>
            <w:tcW w:w="1133" w:type="dxa"/>
            <w:vAlign w:val="center"/>
          </w:tcPr>
          <w:p w14:paraId="0AAB6FC6">
            <w:pPr>
              <w:pStyle w:val="15"/>
              <w:snapToGrid/>
              <w:spacing w:after="0" w:line="240" w:lineRule="auto"/>
              <w:ind w:firstLine="0" w:firstLineChars="0"/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sz w:val="22"/>
                <w:szCs w:val="22"/>
              </w:rPr>
              <w:t>1694678-02-8</w:t>
            </w:r>
          </w:p>
        </w:tc>
        <w:tc>
          <w:tcPr>
            <w:tcW w:w="1193" w:type="dxa"/>
            <w:vAlign w:val="center"/>
          </w:tcPr>
          <w:p w14:paraId="24041F07">
            <w:pPr>
              <w:snapToGrid/>
              <w:spacing w:after="0" w:line="240" w:lineRule="auto"/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sz w:val="22"/>
                <w:szCs w:val="22"/>
              </w:rPr>
              <w:t>C</w:t>
            </w:r>
            <w:r>
              <w:rPr>
                <w:rFonts w:ascii="Times New Roman" w:hAnsi="Times New Roman" w:eastAsia="仿宋_GB2312"/>
                <w:sz w:val="22"/>
                <w:szCs w:val="22"/>
                <w:vertAlign w:val="subscript"/>
              </w:rPr>
              <w:t>19</w:t>
            </w:r>
            <w:r>
              <w:rPr>
                <w:rFonts w:ascii="Times New Roman" w:hAnsi="Times New Roman" w:eastAsia="仿宋_GB2312"/>
                <w:sz w:val="22"/>
                <w:szCs w:val="22"/>
              </w:rPr>
              <w:t>H</w:t>
            </w:r>
            <w:r>
              <w:rPr>
                <w:rFonts w:ascii="Times New Roman" w:hAnsi="Times New Roman" w:eastAsia="仿宋_GB2312"/>
                <w:sz w:val="22"/>
                <w:szCs w:val="22"/>
                <w:vertAlign w:val="subscript"/>
              </w:rPr>
              <w:t>29</w:t>
            </w:r>
            <w:r>
              <w:rPr>
                <w:rFonts w:ascii="Times New Roman" w:hAnsi="Times New Roman" w:eastAsia="仿宋_GB2312"/>
                <w:sz w:val="22"/>
                <w:szCs w:val="22"/>
              </w:rPr>
              <w:t>N</w:t>
            </w:r>
            <w:r>
              <w:rPr>
                <w:rFonts w:ascii="Times New Roman" w:hAnsi="Times New Roman" w:eastAsia="仿宋_GB2312"/>
                <w:sz w:val="22"/>
                <w:szCs w:val="22"/>
                <w:vertAlign w:val="subscript"/>
              </w:rPr>
              <w:t>5</w:t>
            </w:r>
            <w:r>
              <w:rPr>
                <w:rFonts w:ascii="Times New Roman" w:hAnsi="Times New Roman" w:eastAsia="仿宋_GB2312"/>
                <w:sz w:val="22"/>
                <w:szCs w:val="22"/>
              </w:rPr>
              <w:t>O</w:t>
            </w:r>
            <w:r>
              <w:rPr>
                <w:rFonts w:ascii="Times New Roman" w:hAnsi="Times New Roman" w:eastAsia="仿宋_GB2312"/>
                <w:sz w:val="22"/>
                <w:szCs w:val="22"/>
                <w:vertAlign w:val="subscript"/>
              </w:rPr>
              <w:t>4</w:t>
            </w:r>
          </w:p>
        </w:tc>
        <w:tc>
          <w:tcPr>
            <w:tcW w:w="1680" w:type="dxa"/>
            <w:vAlign w:val="center"/>
          </w:tcPr>
          <w:p w14:paraId="270FA8D4">
            <w:pPr>
              <w:snapToGrid/>
              <w:spacing w:after="0" w:line="240" w:lineRule="auto"/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sz w:val="22"/>
                <w:szCs w:val="22"/>
              </w:rPr>
              <w:drawing>
                <wp:inline distT="0" distB="0" distL="0" distR="0">
                  <wp:extent cx="942975" cy="742950"/>
                  <wp:effectExtent l="0" t="0" r="9525" b="0"/>
                  <wp:docPr id="2" name="图片 4" descr="图示, 示意图&#10;&#10;AI 生成的内容可能不正确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4" descr="图示, 示意图&#10;&#10;AI 生成的内容可能不正确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" w:type="dxa"/>
            <w:vAlign w:val="center"/>
          </w:tcPr>
          <w:p w14:paraId="34994DFB">
            <w:pPr>
              <w:snapToGrid/>
              <w:spacing w:after="0" w:line="240" w:lineRule="auto"/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/>
                <w:sz w:val="22"/>
                <w:szCs w:val="22"/>
              </w:rPr>
              <w:t>391.22</w:t>
            </w:r>
          </w:p>
        </w:tc>
        <w:tc>
          <w:tcPr>
            <w:tcW w:w="855" w:type="dxa"/>
            <w:vAlign w:val="center"/>
          </w:tcPr>
          <w:p w14:paraId="5870D229">
            <w:pPr>
              <w:pStyle w:val="15"/>
              <w:snapToGrid/>
              <w:spacing w:after="0" w:line="240" w:lineRule="auto"/>
              <w:ind w:firstLine="0" w:firstLineChars="0"/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/>
                <w:sz w:val="22"/>
                <w:szCs w:val="22"/>
              </w:rPr>
              <w:t>皮肤保护剂</w:t>
            </w:r>
          </w:p>
        </w:tc>
        <w:tc>
          <w:tcPr>
            <w:tcW w:w="1329" w:type="dxa"/>
            <w:vAlign w:val="center"/>
          </w:tcPr>
          <w:p w14:paraId="1722E3ED">
            <w:pPr>
              <w:pStyle w:val="15"/>
              <w:snapToGrid/>
              <w:spacing w:after="0" w:line="240" w:lineRule="auto"/>
              <w:ind w:firstLine="0" w:firstLineChars="0"/>
              <w:jc w:val="both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/>
                <w:sz w:val="22"/>
                <w:szCs w:val="22"/>
              </w:rPr>
              <w:t>各类化妆品（口唇类以及可能具有吸入暴露风险的产品除外）</w:t>
            </w:r>
          </w:p>
        </w:tc>
        <w:tc>
          <w:tcPr>
            <w:tcW w:w="1026" w:type="dxa"/>
            <w:vAlign w:val="center"/>
          </w:tcPr>
          <w:p w14:paraId="2621C990">
            <w:pPr>
              <w:pStyle w:val="15"/>
              <w:snapToGrid/>
              <w:spacing w:after="0" w:line="240" w:lineRule="auto"/>
              <w:ind w:firstLine="0" w:firstLineChars="0"/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/>
                <w:sz w:val="22"/>
                <w:szCs w:val="22"/>
              </w:rPr>
              <w:t>0.33%</w:t>
            </w:r>
          </w:p>
        </w:tc>
        <w:tc>
          <w:tcPr>
            <w:tcW w:w="829" w:type="dxa"/>
            <w:vAlign w:val="center"/>
          </w:tcPr>
          <w:p w14:paraId="54ED3D6B">
            <w:pPr>
              <w:pStyle w:val="15"/>
              <w:snapToGrid/>
              <w:spacing w:after="0" w:line="240" w:lineRule="auto"/>
              <w:ind w:firstLine="0" w:firstLineChars="0"/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hint="eastAsia" w:ascii="Times New Roman" w:hAnsi="Times New Roman" w:eastAsia="仿宋_GB2312"/>
                <w:sz w:val="22"/>
                <w:szCs w:val="22"/>
              </w:rPr>
              <w:t>/</w:t>
            </w:r>
          </w:p>
        </w:tc>
      </w:tr>
    </w:tbl>
    <w:p w14:paraId="51BC8F24">
      <w:pPr>
        <w:widowControl/>
        <w:spacing w:line="520" w:lineRule="exact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footerReference r:id="rId5" w:type="default"/>
      <w:pgSz w:w="16838" w:h="11906" w:orient="landscape"/>
      <w:pgMar w:top="1134" w:right="1440" w:bottom="1134" w:left="1440" w:header="851" w:footer="680" w:gutter="0"/>
      <w:pgNumType w:fmt="decimal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A7DC86"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3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08DB19A">
                          <w:pPr>
                            <w:pStyle w:val="6"/>
                            <w:rPr>
                              <w:rFonts w:ascii="Times New Roman" w:hAnsi="Times New Roman"/>
                              <w:sz w:val="28"/>
                              <w:szCs w:val="44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8"/>
                              <w:szCs w:val="44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4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44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44"/>
                            </w:rPr>
                            <w:t>1</w: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1pt;width:4.6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y1u5d9AAAAACAQAADwAAAAAAAAABACAAAAAiAAAAZHJzL2Rv&#10;d25yZXYueG1sUEsBAhQAFAAAAAgAh07iQHSpkYEJAgAAAQQAAA4AAAAAAAAAAQAgAAAAHwEAAGRy&#10;cy9lMm9Eb2MueG1sUEsFBgAAAAAGAAYAWQEAAJo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08DB19A">
                    <w:pPr>
                      <w:pStyle w:val="6"/>
                      <w:rPr>
                        <w:rFonts w:ascii="Times New Roman" w:hAnsi="Times New Roman"/>
                        <w:sz w:val="28"/>
                        <w:szCs w:val="44"/>
                      </w:rPr>
                    </w:pPr>
                    <w:r>
                      <w:rPr>
                        <w:rFonts w:ascii="Times New Roman" w:hAnsi="Times New Roman"/>
                        <w:sz w:val="28"/>
                        <w:szCs w:val="44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  <w:sz w:val="28"/>
                        <w:szCs w:val="44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/>
                        <w:sz w:val="28"/>
                        <w:szCs w:val="44"/>
                      </w:rPr>
                      <w:fldChar w:fldCharType="separate"/>
                    </w:r>
                    <w:r>
                      <w:rPr>
                        <w:rFonts w:ascii="Times New Roman" w:hAnsi="Times New Roman"/>
                        <w:sz w:val="28"/>
                        <w:szCs w:val="44"/>
                      </w:rPr>
                      <w:t>1</w:t>
                    </w:r>
                    <w:r>
                      <w:rPr>
                        <w:rFonts w:ascii="Times New Roman" w:hAnsi="Times New Roman"/>
                        <w:sz w:val="28"/>
                        <w:szCs w:val="4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UxNmUyN2M1NDExYWQ2NTIwYWUyZTMzYWRkNjUxZDMifQ=="/>
    <w:docVar w:name="KSO_WPS_MARK_KEY" w:val="930bf565-c0cf-4d0c-8d51-19648f5f246c"/>
  </w:docVars>
  <w:rsids>
    <w:rsidRoot w:val="00CE6507"/>
    <w:rsid w:val="00157E1D"/>
    <w:rsid w:val="00166A01"/>
    <w:rsid w:val="002F5269"/>
    <w:rsid w:val="00425699"/>
    <w:rsid w:val="005508B1"/>
    <w:rsid w:val="005F206A"/>
    <w:rsid w:val="00654D66"/>
    <w:rsid w:val="006C4555"/>
    <w:rsid w:val="006E3665"/>
    <w:rsid w:val="00954E70"/>
    <w:rsid w:val="009E0A09"/>
    <w:rsid w:val="00AA3375"/>
    <w:rsid w:val="00CB69E4"/>
    <w:rsid w:val="00CE6507"/>
    <w:rsid w:val="00D8403E"/>
    <w:rsid w:val="00F8465A"/>
    <w:rsid w:val="00F93C9E"/>
    <w:rsid w:val="03416D6D"/>
    <w:rsid w:val="03ED3E80"/>
    <w:rsid w:val="058571A9"/>
    <w:rsid w:val="07BD1481"/>
    <w:rsid w:val="07F910B5"/>
    <w:rsid w:val="093A6475"/>
    <w:rsid w:val="0AEF208C"/>
    <w:rsid w:val="0B113D7A"/>
    <w:rsid w:val="0DDE703B"/>
    <w:rsid w:val="0E4C3AD1"/>
    <w:rsid w:val="0F8D6A99"/>
    <w:rsid w:val="0FAA64B5"/>
    <w:rsid w:val="11054E34"/>
    <w:rsid w:val="1182478D"/>
    <w:rsid w:val="12E0531B"/>
    <w:rsid w:val="139F51CF"/>
    <w:rsid w:val="141A488D"/>
    <w:rsid w:val="16BA047E"/>
    <w:rsid w:val="176A4034"/>
    <w:rsid w:val="184D52CF"/>
    <w:rsid w:val="18B63F1C"/>
    <w:rsid w:val="1945415A"/>
    <w:rsid w:val="19706CFD"/>
    <w:rsid w:val="199C7AF2"/>
    <w:rsid w:val="1B1A617F"/>
    <w:rsid w:val="1C3C0DDB"/>
    <w:rsid w:val="1C8A3992"/>
    <w:rsid w:val="1D143522"/>
    <w:rsid w:val="1E985C59"/>
    <w:rsid w:val="1FD255A5"/>
    <w:rsid w:val="1FD3C00A"/>
    <w:rsid w:val="227C75F2"/>
    <w:rsid w:val="23F309B5"/>
    <w:rsid w:val="25303093"/>
    <w:rsid w:val="26901B38"/>
    <w:rsid w:val="2832176F"/>
    <w:rsid w:val="28BB2E07"/>
    <w:rsid w:val="28ED5661"/>
    <w:rsid w:val="29537447"/>
    <w:rsid w:val="29951534"/>
    <w:rsid w:val="2A1D561B"/>
    <w:rsid w:val="2AB9777F"/>
    <w:rsid w:val="2B2B68B6"/>
    <w:rsid w:val="2CAF7E5D"/>
    <w:rsid w:val="2DD77240"/>
    <w:rsid w:val="2DEBD312"/>
    <w:rsid w:val="300D5950"/>
    <w:rsid w:val="32F1287D"/>
    <w:rsid w:val="338E129D"/>
    <w:rsid w:val="34F2049F"/>
    <w:rsid w:val="353FD3A7"/>
    <w:rsid w:val="37AB5A61"/>
    <w:rsid w:val="37D17C3D"/>
    <w:rsid w:val="37F844FA"/>
    <w:rsid w:val="386624C2"/>
    <w:rsid w:val="39FB47B2"/>
    <w:rsid w:val="3A024848"/>
    <w:rsid w:val="3AA61625"/>
    <w:rsid w:val="3D0F2205"/>
    <w:rsid w:val="3DAF4202"/>
    <w:rsid w:val="3EA352FB"/>
    <w:rsid w:val="3EAB0813"/>
    <w:rsid w:val="3FCA760E"/>
    <w:rsid w:val="409470BB"/>
    <w:rsid w:val="41F14EA9"/>
    <w:rsid w:val="42C37BE8"/>
    <w:rsid w:val="43475537"/>
    <w:rsid w:val="43DEE901"/>
    <w:rsid w:val="4465299F"/>
    <w:rsid w:val="473E31E7"/>
    <w:rsid w:val="477B6FE1"/>
    <w:rsid w:val="486C56D7"/>
    <w:rsid w:val="48DF1A8E"/>
    <w:rsid w:val="4AB12B4E"/>
    <w:rsid w:val="4B0F79B0"/>
    <w:rsid w:val="4CDA2F6D"/>
    <w:rsid w:val="4DC167D6"/>
    <w:rsid w:val="4DDF3B5B"/>
    <w:rsid w:val="4E067654"/>
    <w:rsid w:val="4F0B7A65"/>
    <w:rsid w:val="50B138A7"/>
    <w:rsid w:val="50CD164D"/>
    <w:rsid w:val="51960CEF"/>
    <w:rsid w:val="52497F0C"/>
    <w:rsid w:val="527F763B"/>
    <w:rsid w:val="53C02053"/>
    <w:rsid w:val="54AB7F4F"/>
    <w:rsid w:val="555B5688"/>
    <w:rsid w:val="57755596"/>
    <w:rsid w:val="57E172B2"/>
    <w:rsid w:val="5ABE0659"/>
    <w:rsid w:val="5B0278A3"/>
    <w:rsid w:val="5F742670"/>
    <w:rsid w:val="5F7F5807"/>
    <w:rsid w:val="5FB5140F"/>
    <w:rsid w:val="5FFECDFB"/>
    <w:rsid w:val="60B3508B"/>
    <w:rsid w:val="6116096E"/>
    <w:rsid w:val="61B50D1E"/>
    <w:rsid w:val="62B37719"/>
    <w:rsid w:val="62EC28AD"/>
    <w:rsid w:val="6AAF26D1"/>
    <w:rsid w:val="6B562682"/>
    <w:rsid w:val="6C2442F4"/>
    <w:rsid w:val="6DF82F6D"/>
    <w:rsid w:val="6E4A0D05"/>
    <w:rsid w:val="6EC444C6"/>
    <w:rsid w:val="6F320042"/>
    <w:rsid w:val="6F6F484A"/>
    <w:rsid w:val="701310BD"/>
    <w:rsid w:val="73874E52"/>
    <w:rsid w:val="73C15BBE"/>
    <w:rsid w:val="74521C75"/>
    <w:rsid w:val="75F8E895"/>
    <w:rsid w:val="75FF63EC"/>
    <w:rsid w:val="77203C07"/>
    <w:rsid w:val="7776A853"/>
    <w:rsid w:val="78010D1B"/>
    <w:rsid w:val="788274D1"/>
    <w:rsid w:val="78A0111E"/>
    <w:rsid w:val="7AD718AD"/>
    <w:rsid w:val="7AEE354B"/>
    <w:rsid w:val="7AFE6E75"/>
    <w:rsid w:val="7B0211D2"/>
    <w:rsid w:val="7BADE4CB"/>
    <w:rsid w:val="7CFFA417"/>
    <w:rsid w:val="7D3F67F7"/>
    <w:rsid w:val="7DF74EB4"/>
    <w:rsid w:val="7E3F1C43"/>
    <w:rsid w:val="7EB7FE3F"/>
    <w:rsid w:val="7F086042"/>
    <w:rsid w:val="7F9F9533"/>
    <w:rsid w:val="7FD26FA9"/>
    <w:rsid w:val="7FEE77D8"/>
    <w:rsid w:val="99E6841E"/>
    <w:rsid w:val="9F9DB8F1"/>
    <w:rsid w:val="BD7C3D5F"/>
    <w:rsid w:val="BDAF0CCE"/>
    <w:rsid w:val="BFBCBA71"/>
    <w:rsid w:val="CFCFAE3C"/>
    <w:rsid w:val="E8E99445"/>
    <w:rsid w:val="F37F7A70"/>
    <w:rsid w:val="F3F76356"/>
    <w:rsid w:val="F3F95A6C"/>
    <w:rsid w:val="F5BF8100"/>
    <w:rsid w:val="FBBDCC8C"/>
    <w:rsid w:val="FDFE2892"/>
    <w:rsid w:val="FF5F8AD9"/>
    <w:rsid w:val="FFBD8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0" w:after="0" w:afterAutospacing="0" w:line="600" w:lineRule="exact"/>
      <w:ind w:firstLine="0" w:firstLineChars="0"/>
      <w:jc w:val="center"/>
      <w:outlineLvl w:val="0"/>
    </w:pPr>
    <w:rPr>
      <w:rFonts w:hint="eastAsia" w:ascii="Times New Roman" w:hAnsi="Times New Roman" w:eastAsia="方正小标宋简体" w:cs="宋体"/>
      <w:bCs/>
      <w:color w:val="333333"/>
      <w:sz w:val="44"/>
      <w:szCs w:val="44"/>
      <w:lang w:bidi="ar"/>
    </w:rPr>
  </w:style>
  <w:style w:type="paragraph" w:styleId="3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/>
      <w:b/>
      <w:kern w:val="0"/>
      <w:sz w:val="36"/>
      <w:szCs w:val="36"/>
    </w:rPr>
  </w:style>
  <w:style w:type="paragraph" w:styleId="4">
    <w:name w:val="heading 3"/>
    <w:basedOn w:val="1"/>
    <w:next w:val="1"/>
    <w:qFormat/>
    <w:uiPriority w:val="0"/>
    <w:pPr>
      <w:spacing w:before="100" w:beforeAutospacing="1" w:after="100" w:afterAutospacing="1"/>
      <w:jc w:val="left"/>
      <w:outlineLvl w:val="2"/>
    </w:pPr>
    <w:rPr>
      <w:rFonts w:hint="eastAsia" w:ascii="宋体" w:hAnsi="宋体"/>
      <w:b/>
      <w:kern w:val="0"/>
      <w:sz w:val="27"/>
      <w:szCs w:val="27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18"/>
    <w:qFormat/>
    <w:uiPriority w:val="0"/>
    <w:pPr>
      <w:jc w:val="left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9">
    <w:name w:val="annotation subject"/>
    <w:basedOn w:val="5"/>
    <w:next w:val="5"/>
    <w:link w:val="19"/>
    <w:qFormat/>
    <w:uiPriority w:val="0"/>
    <w:rPr>
      <w:b/>
      <w:bCs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Hyperlink"/>
    <w:basedOn w:val="12"/>
    <w:qFormat/>
    <w:uiPriority w:val="0"/>
    <w:rPr>
      <w:color w:val="0000FF"/>
      <w:u w:val="single"/>
    </w:rPr>
  </w:style>
  <w:style w:type="character" w:styleId="14">
    <w:name w:val="annotation reference"/>
    <w:basedOn w:val="12"/>
    <w:qFormat/>
    <w:uiPriority w:val="0"/>
    <w:rPr>
      <w:sz w:val="21"/>
      <w:szCs w:val="21"/>
    </w:rPr>
  </w:style>
  <w:style w:type="paragraph" w:customStyle="1" w:styleId="15">
    <w:name w:val="样式1"/>
    <w:basedOn w:val="1"/>
    <w:next w:val="1"/>
    <w:qFormat/>
    <w:uiPriority w:val="0"/>
    <w:pPr>
      <w:ind w:firstLine="602" w:firstLineChars="200"/>
    </w:pPr>
    <w:rPr>
      <w:rFonts w:ascii="仿宋" w:hAnsi="仿宋" w:eastAsia="仿宋"/>
      <w:sz w:val="30"/>
      <w:szCs w:val="30"/>
    </w:rPr>
  </w:style>
  <w:style w:type="paragraph" w:customStyle="1" w:styleId="16">
    <w:name w:val="修订1"/>
    <w:hidden/>
    <w:unhideWhenUsed/>
    <w:qFormat/>
    <w:uiPriority w:val="99"/>
    <w:pPr>
      <w:spacing w:after="160" w:line="278" w:lineRule="auto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17">
    <w:name w:val="Revision"/>
    <w:hidden/>
    <w:unhideWhenUsed/>
    <w:qFormat/>
    <w:uiPriority w:val="99"/>
    <w:pPr>
      <w:spacing w:after="0" w:line="240" w:lineRule="auto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customStyle="1" w:styleId="18">
    <w:name w:val="批注文字 字符"/>
    <w:basedOn w:val="12"/>
    <w:link w:val="5"/>
    <w:qFormat/>
    <w:uiPriority w:val="0"/>
    <w:rPr>
      <w:rFonts w:ascii="Calibri" w:hAnsi="Calibri"/>
      <w:kern w:val="2"/>
      <w:sz w:val="21"/>
      <w:szCs w:val="24"/>
    </w:rPr>
  </w:style>
  <w:style w:type="character" w:customStyle="1" w:styleId="19">
    <w:name w:val="批注主题 字符"/>
    <w:basedOn w:val="18"/>
    <w:link w:val="9"/>
    <w:qFormat/>
    <w:uiPriority w:val="0"/>
    <w:rPr>
      <w:rFonts w:ascii="Calibri" w:hAnsi="Calibri"/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542</Words>
  <Characters>684</Characters>
  <Lines>23</Lines>
  <Paragraphs>6</Paragraphs>
  <TotalTime>3</TotalTime>
  <ScaleCrop>false</ScaleCrop>
  <LinksUpToDate>false</LinksUpToDate>
  <CharactersWithSpaces>690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2025-06-14T11:58:00Z</dcterms:created>
  <dc:creator>Administrator</dc:creator>
  <cp:lastModifiedBy>糖糖</cp:lastModifiedBy>
  <cp:lastPrinted>2025-06-21T14:10:00Z</cp:lastPrinted>
  <dcterms:modified xsi:type="dcterms:W3CDTF">2025-06-24T07:52:21Z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eyJoZGlkIjoiNzUzMjcxYjI3MDRjMDIwZmVmYTgzNGM3MjE3OGJkMDMiLCJ1c2VySWQiOiIzODA4OTcyNTkifQ==</vt:lpwstr>
  </property>
  <property fmtid="{D5CDD505-2E9C-101B-9397-08002B2CF9AE}" pid="4" name="ICV">
    <vt:lpwstr>71BC363C3D61CC902E3A59682F4CDA1D</vt:lpwstr>
  </property>
</Properties>
</file>